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D37" w:rsidRPr="00285A39" w:rsidRDefault="00D32D37" w:rsidP="00D32D37">
      <w:pPr>
        <w:spacing w:after="0" w:line="240" w:lineRule="auto"/>
        <w:ind w:left="3540" w:firstLine="708"/>
        <w:rPr>
          <w:rFonts w:cstheme="minorHAnsi"/>
          <w:b/>
          <w:bCs/>
        </w:rPr>
      </w:pPr>
      <w:r w:rsidRPr="00285A39">
        <w:rPr>
          <w:rFonts w:cstheme="minorHAnsi"/>
          <w:b/>
          <w:bCs/>
          <w:lang w:val="en"/>
        </w:rPr>
        <w:t>SPECIFICATIONS</w:t>
      </w:r>
    </w:p>
    <w:p w:rsidR="00D32D37" w:rsidRPr="00285A39" w:rsidRDefault="00D32D37" w:rsidP="00D32D37">
      <w:pPr>
        <w:spacing w:after="0" w:line="240" w:lineRule="auto"/>
        <w:jc w:val="center"/>
        <w:rPr>
          <w:rFonts w:cstheme="minorHAnsi"/>
          <w:b/>
          <w:bCs/>
        </w:rPr>
      </w:pPr>
      <w:r w:rsidRPr="00285A39">
        <w:rPr>
          <w:rFonts w:cstheme="minorHAnsi"/>
          <w:b/>
          <w:bCs/>
          <w:lang w:val="en"/>
        </w:rPr>
        <w:t>for the purchase of the event management software product for the Public Institution Organization for Entrepreneurship</w:t>
      </w:r>
      <w:r w:rsidRPr="00285A39" w:rsidDel="000D6F63">
        <w:rPr>
          <w:rFonts w:cstheme="minorHAnsi"/>
          <w:b/>
          <w:bCs/>
          <w:lang w:val="en"/>
        </w:rPr>
        <w:t xml:space="preserve"> </w:t>
      </w:r>
      <w:r w:rsidRPr="00285A39">
        <w:rPr>
          <w:rFonts w:cstheme="minorHAnsi"/>
          <w:b/>
          <w:bCs/>
          <w:lang w:val="en"/>
        </w:rPr>
        <w:t xml:space="preserve">Development </w:t>
      </w:r>
    </w:p>
    <w:p w:rsidR="00D32D37" w:rsidRPr="00285A39" w:rsidRDefault="00D32D37" w:rsidP="00D32D37">
      <w:pPr>
        <w:spacing w:after="0" w:line="240" w:lineRule="auto"/>
        <w:jc w:val="center"/>
        <w:rPr>
          <w:rFonts w:cstheme="minorHAnsi"/>
          <w:b/>
          <w:bCs/>
        </w:rPr>
      </w:pPr>
    </w:p>
    <w:p w:rsidR="00D32D37" w:rsidRPr="00285A39" w:rsidRDefault="00D32D37" w:rsidP="00D32D37">
      <w:pPr>
        <w:numPr>
          <w:ilvl w:val="0"/>
          <w:numId w:val="1"/>
        </w:numPr>
        <w:spacing w:after="0" w:line="240" w:lineRule="auto"/>
        <w:contextualSpacing/>
        <w:rPr>
          <w:rFonts w:cstheme="minorHAnsi"/>
          <w:b/>
          <w:bCs/>
        </w:rPr>
      </w:pPr>
      <w:r w:rsidRPr="00285A39">
        <w:rPr>
          <w:rFonts w:cstheme="minorHAnsi"/>
          <w:b/>
          <w:bCs/>
          <w:lang w:val="en"/>
        </w:rPr>
        <w:t>GENERAL INFORMATION</w:t>
      </w:r>
    </w:p>
    <w:tbl>
      <w:tblPr>
        <w:tblStyle w:val="TableGrid"/>
        <w:tblW w:w="10207" w:type="dxa"/>
        <w:tblInd w:w="-289" w:type="dxa"/>
        <w:tblLook w:val="04A0" w:firstRow="1" w:lastRow="0" w:firstColumn="1" w:lastColumn="0" w:noHBand="0" w:noVBand="1"/>
      </w:tblPr>
      <w:tblGrid>
        <w:gridCol w:w="10207"/>
      </w:tblGrid>
      <w:tr w:rsidR="00D32D37" w:rsidRPr="00285A39" w:rsidTr="00F61A5E">
        <w:tc>
          <w:tcPr>
            <w:tcW w:w="10207" w:type="dxa"/>
          </w:tcPr>
          <w:p w:rsidR="00D32D37" w:rsidRPr="00285A39" w:rsidRDefault="00D32D37" w:rsidP="00F61A5E">
            <w:pPr>
              <w:ind w:firstLine="513"/>
              <w:jc w:val="both"/>
              <w:rPr>
                <w:rFonts w:cstheme="minorHAnsi"/>
              </w:rPr>
            </w:pPr>
            <w:r w:rsidRPr="00285A39">
              <w:rPr>
                <w:rFonts w:cstheme="minorHAnsi"/>
                <w:b/>
                <w:bCs/>
                <w:lang w:val="en"/>
              </w:rPr>
              <w:t xml:space="preserve">The Public </w:t>
            </w:r>
            <w:r w:rsidRPr="00285A39">
              <w:rPr>
                <w:rFonts w:cstheme="minorHAnsi"/>
                <w:lang w:val="en"/>
              </w:rPr>
              <w:t xml:space="preserve">Institution </w:t>
            </w:r>
            <w:r w:rsidRPr="00285A39">
              <w:rPr>
                <w:rFonts w:eastAsiaTheme="minorEastAsia" w:cstheme="minorHAnsi"/>
                <w:noProof/>
                <w:color w:val="000000"/>
                <w:lang w:val="en-US" w:eastAsia="ro-MD"/>
              </w:rPr>
              <w:t>Organization for Enterpreneurship Development</w:t>
            </w:r>
            <w:r w:rsidRPr="00285A39">
              <w:rPr>
                <w:rFonts w:cstheme="minorHAnsi"/>
                <w:lang w:val="en"/>
              </w:rPr>
              <w:t xml:space="preserve"> (</w:t>
            </w:r>
            <w:r w:rsidRPr="00285A39">
              <w:rPr>
                <w:rFonts w:cstheme="minorHAnsi"/>
                <w:b/>
                <w:bCs/>
                <w:lang w:val="en"/>
              </w:rPr>
              <w:t>ODA)</w:t>
            </w:r>
            <w:r w:rsidRPr="00285A39">
              <w:rPr>
                <w:rFonts w:cstheme="minorHAnsi"/>
                <w:lang w:val="en"/>
              </w:rPr>
              <w:t xml:space="preserve"> is a public institution, founded by GD No. 538/2007, subordinated to the Ministry of Economy, with the mission to support the development of the local entrepreneurial environment, including small and medium-sized enterprises, by promoting entrepreneurial culture, providing financial and technical assistance to companies, issuing financial and state guarantees, as well as providing business support infrastructure.</w:t>
            </w:r>
          </w:p>
          <w:p w:rsidR="00D32D37" w:rsidRPr="00285A39" w:rsidRDefault="00D32D37" w:rsidP="00F61A5E">
            <w:pPr>
              <w:ind w:firstLine="513"/>
              <w:jc w:val="both"/>
              <w:rPr>
                <w:rFonts w:cstheme="minorHAnsi"/>
              </w:rPr>
            </w:pPr>
          </w:p>
          <w:p w:rsidR="00D32D37" w:rsidRPr="00285A39" w:rsidRDefault="00D32D37" w:rsidP="00F61A5E">
            <w:pPr>
              <w:widowControl w:val="0"/>
              <w:tabs>
                <w:tab w:val="left" w:pos="712"/>
              </w:tabs>
              <w:ind w:firstLine="513"/>
              <w:jc w:val="both"/>
              <w:rPr>
                <w:rFonts w:cstheme="minorHAnsi"/>
                <w:b/>
                <w:bCs/>
              </w:rPr>
            </w:pPr>
            <w:r w:rsidRPr="00285A39">
              <w:rPr>
                <w:rFonts w:ascii="Arial" w:eastAsia="Arial" w:hAnsi="Arial" w:cstheme="minorHAnsi"/>
                <w:b/>
                <w:bCs/>
                <w:color w:val="2E5394"/>
                <w:sz w:val="26"/>
                <w:szCs w:val="26"/>
                <w:lang w:val="en" w:bidi="en-US"/>
              </w:rPr>
              <w:t>Mission, mandate, responsibilities</w:t>
            </w:r>
          </w:p>
          <w:p w:rsidR="00D32D37" w:rsidRPr="00285A39" w:rsidRDefault="00D32D37" w:rsidP="00F61A5E">
            <w:pPr>
              <w:widowControl w:val="0"/>
              <w:ind w:firstLine="513"/>
              <w:jc w:val="both"/>
              <w:rPr>
                <w:rFonts w:eastAsia="Arial" w:cstheme="minorHAnsi"/>
                <w:color w:val="333333"/>
                <w:shd w:val="clear" w:color="auto" w:fill="FFFFFF"/>
              </w:rPr>
            </w:pPr>
            <w:r w:rsidRPr="00285A39">
              <w:rPr>
                <w:rFonts w:eastAsia="Arial" w:cstheme="minorHAnsi"/>
                <w:color w:val="333333"/>
                <w:shd w:val="clear" w:color="auto" w:fill="FFFFFF"/>
                <w:lang w:val="en"/>
              </w:rPr>
              <w:t>ODA has the mission to implement the state policy on supporting the development of entrepreneurship, including small and medium-sized enterprises, according to the strategies and programs approved by the Government.</w:t>
            </w:r>
          </w:p>
          <w:p w:rsidR="00D32D37" w:rsidRPr="00285A39" w:rsidRDefault="00D32D37" w:rsidP="00F61A5E">
            <w:pPr>
              <w:widowControl w:val="0"/>
              <w:ind w:firstLine="513"/>
              <w:jc w:val="both"/>
              <w:rPr>
                <w:rFonts w:eastAsia="Arial" w:cstheme="minorHAnsi"/>
                <w:b/>
                <w:bCs/>
                <w:color w:val="333333"/>
                <w:shd w:val="clear" w:color="auto" w:fill="FFFFFF"/>
              </w:rPr>
            </w:pPr>
          </w:p>
          <w:p w:rsidR="00D32D37" w:rsidRPr="00285A39" w:rsidRDefault="00D32D37" w:rsidP="00F61A5E">
            <w:pPr>
              <w:widowControl w:val="0"/>
              <w:ind w:firstLine="513"/>
              <w:jc w:val="both"/>
              <w:rPr>
                <w:rFonts w:eastAsia="Arial" w:cstheme="minorHAnsi"/>
                <w:b/>
                <w:bCs/>
                <w:color w:val="333333"/>
                <w:shd w:val="clear" w:color="auto" w:fill="FFFFFF"/>
              </w:rPr>
            </w:pPr>
            <w:r w:rsidRPr="00285A39">
              <w:rPr>
                <w:rFonts w:eastAsia="Arial" w:cstheme="minorHAnsi"/>
                <w:b/>
                <w:bCs/>
                <w:color w:val="333333"/>
                <w:shd w:val="clear" w:color="auto" w:fill="FFFFFF"/>
                <w:lang w:val="en"/>
              </w:rPr>
              <w:t>Areas of activity of the ODA</w:t>
            </w:r>
          </w:p>
          <w:p w:rsidR="00D32D37" w:rsidRPr="00285A39" w:rsidRDefault="00D32D37" w:rsidP="00F61A5E">
            <w:pPr>
              <w:widowControl w:val="0"/>
              <w:ind w:firstLine="513"/>
              <w:jc w:val="both"/>
              <w:rPr>
                <w:rFonts w:eastAsia="Arial" w:cstheme="minorHAnsi"/>
                <w:color w:val="333333"/>
                <w:shd w:val="clear" w:color="auto" w:fill="FFFFFF"/>
              </w:rPr>
            </w:pPr>
            <w:r w:rsidRPr="00285A39">
              <w:rPr>
                <w:rFonts w:eastAsia="Arial" w:cstheme="minorHAnsi"/>
                <w:color w:val="333333"/>
                <w:shd w:val="clear" w:color="auto" w:fill="FFFFFF"/>
                <w:lang w:val="en"/>
              </w:rPr>
              <w:t>supporting the development of entrepreneurship;</w:t>
            </w:r>
          </w:p>
          <w:p w:rsidR="00D32D37" w:rsidRPr="00285A39" w:rsidRDefault="00D32D37" w:rsidP="00F61A5E">
            <w:pPr>
              <w:widowControl w:val="0"/>
              <w:ind w:firstLine="513"/>
              <w:jc w:val="both"/>
              <w:rPr>
                <w:rFonts w:eastAsia="Arial" w:cstheme="minorHAnsi"/>
                <w:color w:val="333333"/>
                <w:shd w:val="clear" w:color="auto" w:fill="FFFFFF"/>
              </w:rPr>
            </w:pPr>
            <w:r w:rsidRPr="00285A39">
              <w:rPr>
                <w:rFonts w:eastAsia="Arial" w:cstheme="minorHAnsi"/>
                <w:color w:val="333333"/>
                <w:shd w:val="clear" w:color="auto" w:fill="FFFFFF"/>
                <w:lang w:val="en"/>
              </w:rPr>
              <w:t>financial and technical assistance to undertakings;</w:t>
            </w:r>
          </w:p>
          <w:p w:rsidR="00D32D37" w:rsidRPr="00285A39" w:rsidRDefault="00D32D37" w:rsidP="00F61A5E">
            <w:pPr>
              <w:widowControl w:val="0"/>
              <w:ind w:firstLine="513"/>
              <w:jc w:val="both"/>
              <w:rPr>
                <w:rFonts w:eastAsia="Arial" w:cstheme="minorHAnsi"/>
                <w:color w:val="333333"/>
                <w:shd w:val="clear" w:color="auto" w:fill="FFFFFF"/>
              </w:rPr>
            </w:pPr>
            <w:r w:rsidRPr="00285A39">
              <w:rPr>
                <w:rFonts w:eastAsia="Arial" w:cstheme="minorHAnsi"/>
                <w:color w:val="333333"/>
                <w:shd w:val="clear" w:color="auto" w:fill="FFFFFF"/>
                <w:lang w:val="en"/>
              </w:rPr>
              <w:t>issuing financial and State guarantees.</w:t>
            </w:r>
          </w:p>
          <w:p w:rsidR="00D32D37" w:rsidRPr="00285A39" w:rsidRDefault="00D32D37" w:rsidP="00F61A5E">
            <w:pPr>
              <w:widowControl w:val="0"/>
              <w:ind w:firstLine="513"/>
              <w:jc w:val="both"/>
              <w:rPr>
                <w:rFonts w:eastAsia="Arial" w:cstheme="minorHAnsi"/>
                <w:color w:val="333333"/>
                <w:shd w:val="clear" w:color="auto" w:fill="FFFFFF"/>
              </w:rPr>
            </w:pPr>
          </w:p>
          <w:p w:rsidR="00D32D37" w:rsidRPr="00285A39" w:rsidRDefault="00D32D37" w:rsidP="00F61A5E">
            <w:pPr>
              <w:widowControl w:val="0"/>
              <w:ind w:firstLine="513"/>
              <w:jc w:val="both"/>
              <w:rPr>
                <w:rFonts w:eastAsia="Arial" w:cstheme="minorHAnsi"/>
                <w:b/>
                <w:bCs/>
                <w:color w:val="333333"/>
                <w:shd w:val="clear" w:color="auto" w:fill="FFFFFF"/>
              </w:rPr>
            </w:pPr>
            <w:r w:rsidRPr="00285A39">
              <w:rPr>
                <w:rFonts w:eastAsia="Arial" w:cstheme="minorHAnsi"/>
                <w:b/>
                <w:bCs/>
                <w:color w:val="333333"/>
                <w:shd w:val="clear" w:color="auto" w:fill="FFFFFF"/>
                <w:lang w:val="en"/>
              </w:rPr>
              <w:t>ODA priorities</w:t>
            </w:r>
          </w:p>
          <w:p w:rsidR="00D32D37" w:rsidRPr="00285A39" w:rsidRDefault="00D32D37" w:rsidP="00F61A5E">
            <w:pPr>
              <w:widowControl w:val="0"/>
              <w:ind w:firstLine="513"/>
              <w:rPr>
                <w:rFonts w:eastAsia="Arial" w:cstheme="minorHAnsi"/>
              </w:rPr>
            </w:pPr>
            <w:r w:rsidRPr="00285A39">
              <w:rPr>
                <w:rFonts w:eastAsia="Arial" w:cstheme="minorHAnsi"/>
                <w:lang w:val="en"/>
              </w:rPr>
              <w:t>Moldovan SMEs face a number of challenges, including due to crises that have affected the entire economy of the country, one of the major problems being access to affordable and long-term financing. Given the size of the internal market, access to international buyers and consumers is also vital for the development of SMEs.</w:t>
            </w:r>
          </w:p>
          <w:p w:rsidR="00D32D37" w:rsidRPr="00285A39" w:rsidRDefault="00D32D37" w:rsidP="00F61A5E">
            <w:pPr>
              <w:widowControl w:val="0"/>
              <w:ind w:firstLine="513"/>
              <w:rPr>
                <w:rFonts w:eastAsia="Arial" w:cstheme="minorHAnsi"/>
              </w:rPr>
            </w:pPr>
            <w:r w:rsidRPr="00285A39">
              <w:rPr>
                <w:rFonts w:eastAsia="Arial" w:cstheme="minorHAnsi"/>
                <w:lang w:val="en"/>
              </w:rPr>
              <w:t xml:space="preserve">In order to improve the institutional capacity </w:t>
            </w:r>
            <w:proofErr w:type="gramStart"/>
            <w:r w:rsidRPr="00285A39">
              <w:rPr>
                <w:rFonts w:eastAsia="Arial" w:cstheme="minorHAnsi"/>
                <w:lang w:val="en"/>
              </w:rPr>
              <w:t>of  ODA</w:t>
            </w:r>
            <w:proofErr w:type="gramEnd"/>
            <w:r w:rsidRPr="00285A39">
              <w:rPr>
                <w:rFonts w:eastAsia="Arial" w:cstheme="minorHAnsi"/>
                <w:lang w:val="en"/>
              </w:rPr>
              <w:t xml:space="preserve"> as a key organization to support SMEs, one of the priorities set is the development of services to support SMEs' access to international markets, in particular </w:t>
            </w:r>
            <w:r w:rsidRPr="00285A39">
              <w:rPr>
                <w:rFonts w:eastAsia="Arial" w:cstheme="minorHAnsi"/>
                <w:color w:val="000000"/>
                <w:lang w:val="en"/>
              </w:rPr>
              <w:t>the development of the capacities and abilities of Moldovan enterprises to easily integrate into regional / international value chains as suppliers for large buyer companies (hereinafter – Supplier Development</w:t>
            </w:r>
            <w:r w:rsidRPr="00285A39">
              <w:rPr>
                <w:rFonts w:eastAsia="Arial" w:cstheme="minorHAnsi"/>
                <w:lang w:val="en"/>
              </w:rPr>
              <w:t xml:space="preserve"> Program</w:t>
            </w:r>
            <w:r w:rsidRPr="00285A39">
              <w:rPr>
                <w:rFonts w:eastAsia="Arial" w:cstheme="minorHAnsi"/>
                <w:color w:val="000000"/>
                <w:lang w:val="en"/>
              </w:rPr>
              <w:t>).</w:t>
            </w:r>
          </w:p>
          <w:p w:rsidR="00D32D37" w:rsidRPr="00285A39" w:rsidRDefault="00D32D37" w:rsidP="00F61A5E">
            <w:pPr>
              <w:widowControl w:val="0"/>
              <w:ind w:firstLine="513"/>
              <w:jc w:val="both"/>
              <w:rPr>
                <w:rFonts w:eastAsia="Arial" w:cstheme="minorHAnsi"/>
                <w:b/>
                <w:bCs/>
                <w:color w:val="333333"/>
                <w:shd w:val="clear" w:color="auto" w:fill="FFFFFF"/>
              </w:rPr>
            </w:pPr>
          </w:p>
          <w:p w:rsidR="00D32D37" w:rsidRPr="00285A39" w:rsidRDefault="00D32D37" w:rsidP="00F61A5E">
            <w:pPr>
              <w:widowControl w:val="0"/>
              <w:ind w:firstLine="513"/>
              <w:jc w:val="both"/>
              <w:rPr>
                <w:rFonts w:eastAsia="Arial" w:cstheme="minorHAnsi"/>
                <w:b/>
                <w:bCs/>
                <w:color w:val="333333"/>
                <w:shd w:val="clear" w:color="auto" w:fill="FFFFFF"/>
              </w:rPr>
            </w:pPr>
            <w:r w:rsidRPr="00285A39">
              <w:rPr>
                <w:rFonts w:eastAsia="Arial" w:cstheme="minorHAnsi"/>
                <w:b/>
                <w:bCs/>
                <w:color w:val="333333"/>
                <w:shd w:val="clear" w:color="auto" w:fill="FFFFFF"/>
                <w:lang w:val="en"/>
              </w:rPr>
              <w:t>Objectives</w:t>
            </w:r>
            <w:r w:rsidRPr="00285A39">
              <w:rPr>
                <w:rFonts w:eastAsia="Arial" w:cstheme="minorHAnsi"/>
                <w:color w:val="000000"/>
                <w:lang w:val="en"/>
              </w:rPr>
              <w:t xml:space="preserve"> of the Supplier Development</w:t>
            </w:r>
            <w:r w:rsidRPr="00285A39">
              <w:rPr>
                <w:rFonts w:eastAsia="Arial" w:cstheme="minorHAnsi"/>
                <w:lang w:val="en"/>
              </w:rPr>
              <w:t xml:space="preserve"> Program</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Increasing the capacity of SMEs to integrate into regional/international value chains and to work as suppliers to large domestic and/or international buyers;</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providing SMEs with an overview of the demand available in the region, which can be a level for improving and modernizing the quality of their products/services;</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facilitating the connection of large domestic and / or international buyers with SMEs from the Republic of Moldova;</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providing assistance and know-how to SMEs to become suppliers capable of meeting the international standards of large domestic and / or international buyers;</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providing SMEs access to international expertise in developing/defining programs to improve their competitive position in relation to similar companies that already participate in international value chains;</w:t>
            </w:r>
          </w:p>
          <w:p w:rsidR="00D32D37" w:rsidRPr="00285A39" w:rsidRDefault="00D32D37" w:rsidP="00D32D37">
            <w:pPr>
              <w:numPr>
                <w:ilvl w:val="0"/>
                <w:numId w:val="2"/>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supporting SMEs in mobilizing funding and identifying technological innovation partners for the implementation of business development programs.</w:t>
            </w:r>
          </w:p>
          <w:p w:rsidR="00D32D37" w:rsidRPr="00285A39" w:rsidRDefault="00D32D37" w:rsidP="00F61A5E">
            <w:pPr>
              <w:ind w:firstLine="513"/>
              <w:jc w:val="both"/>
              <w:textAlignment w:val="baseline"/>
              <w:rPr>
                <w:rFonts w:eastAsia="Times New Roman" w:cstheme="minorHAnsi"/>
                <w:color w:val="000000"/>
                <w:lang w:eastAsia="ro-RO"/>
              </w:rPr>
            </w:pPr>
          </w:p>
          <w:p w:rsidR="00D32D37" w:rsidRPr="00285A39" w:rsidRDefault="00D32D37" w:rsidP="00F61A5E">
            <w:pPr>
              <w:ind w:firstLine="513"/>
              <w:jc w:val="both"/>
              <w:textAlignment w:val="baseline"/>
              <w:rPr>
                <w:rFonts w:eastAsia="Times New Roman" w:cstheme="minorHAnsi"/>
                <w:b/>
                <w:bCs/>
                <w:color w:val="000000"/>
                <w:lang w:eastAsia="ro-RO"/>
              </w:rPr>
            </w:pPr>
            <w:r w:rsidRPr="00285A39">
              <w:rPr>
                <w:rFonts w:eastAsia="Times New Roman" w:cstheme="minorHAnsi"/>
                <w:b/>
                <w:bCs/>
                <w:color w:val="000000"/>
                <w:lang w:val="en" w:eastAsia="ro-RO"/>
              </w:rPr>
              <w:t>Components of the Supplier Development Program</w:t>
            </w:r>
          </w:p>
          <w:p w:rsidR="00D32D37" w:rsidRPr="00285A39" w:rsidRDefault="00D32D37" w:rsidP="00D32D37">
            <w:pPr>
              <w:numPr>
                <w:ilvl w:val="0"/>
                <w:numId w:val="3"/>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Informational support;</w:t>
            </w:r>
          </w:p>
          <w:p w:rsidR="00D32D37" w:rsidRPr="00285A39" w:rsidRDefault="00D32D37" w:rsidP="00D32D37">
            <w:pPr>
              <w:numPr>
                <w:ilvl w:val="0"/>
                <w:numId w:val="3"/>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Creation and development of the enterprise network and supplier database</w:t>
            </w:r>
          </w:p>
          <w:p w:rsidR="00D32D37" w:rsidRPr="00285A39" w:rsidRDefault="00D32D37" w:rsidP="00D32D37">
            <w:pPr>
              <w:numPr>
                <w:ilvl w:val="0"/>
                <w:numId w:val="3"/>
              </w:numPr>
              <w:ind w:firstLine="513"/>
              <w:jc w:val="both"/>
              <w:textAlignment w:val="baseline"/>
              <w:rPr>
                <w:rFonts w:eastAsia="Times New Roman" w:cstheme="minorHAnsi"/>
                <w:color w:val="333333"/>
                <w:shd w:val="clear" w:color="auto" w:fill="FFFFFF"/>
                <w:lang w:eastAsia="ro-RO"/>
              </w:rPr>
            </w:pPr>
            <w:r w:rsidRPr="00285A39">
              <w:rPr>
                <w:rFonts w:eastAsia="Times New Roman" w:cstheme="minorHAnsi"/>
                <w:color w:val="000000"/>
                <w:lang w:val="en" w:eastAsia="ro-RO"/>
              </w:rPr>
              <w:t>Generating opportunities for SMEs in the Republic of Moldova</w:t>
            </w:r>
          </w:p>
          <w:p w:rsidR="00D32D37" w:rsidRPr="00285A39" w:rsidRDefault="00D32D37" w:rsidP="00D32D37">
            <w:pPr>
              <w:numPr>
                <w:ilvl w:val="0"/>
                <w:numId w:val="3"/>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Business Development Review</w:t>
            </w:r>
          </w:p>
          <w:p w:rsidR="00D32D37" w:rsidRPr="00285A39" w:rsidRDefault="00D32D37" w:rsidP="00D32D37">
            <w:pPr>
              <w:numPr>
                <w:ilvl w:val="0"/>
                <w:numId w:val="3"/>
              </w:num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Training and guidance</w:t>
            </w:r>
          </w:p>
          <w:p w:rsidR="00D32D37" w:rsidRPr="00285A39" w:rsidRDefault="00D32D37" w:rsidP="00D32D37">
            <w:pPr>
              <w:numPr>
                <w:ilvl w:val="0"/>
                <w:numId w:val="3"/>
              </w:numPr>
              <w:ind w:firstLine="513"/>
              <w:jc w:val="both"/>
              <w:textAlignment w:val="baseline"/>
              <w:rPr>
                <w:rFonts w:eastAsia="Times New Roman" w:cstheme="minorHAnsi"/>
                <w:color w:val="333333"/>
                <w:shd w:val="clear" w:color="auto" w:fill="FFFFFF"/>
                <w:lang w:eastAsia="ro-RO"/>
              </w:rPr>
            </w:pPr>
            <w:r w:rsidRPr="00285A39">
              <w:rPr>
                <w:rFonts w:eastAsia="Times New Roman" w:cstheme="minorHAnsi"/>
                <w:color w:val="000000"/>
                <w:lang w:val="en" w:eastAsia="ro-RO"/>
              </w:rPr>
              <w:t>Support in the implementation of business development programs</w:t>
            </w:r>
          </w:p>
          <w:p w:rsidR="00D32D37" w:rsidRPr="00285A39" w:rsidRDefault="00D32D37" w:rsidP="00F61A5E">
            <w:pPr>
              <w:ind w:firstLine="513"/>
              <w:jc w:val="both"/>
              <w:textAlignment w:val="baseline"/>
              <w:rPr>
                <w:rFonts w:eastAsia="Times New Roman" w:cstheme="minorHAnsi"/>
                <w:color w:val="333333"/>
                <w:shd w:val="clear" w:color="auto" w:fill="FFFFFF"/>
                <w:lang w:eastAsia="ro-RO"/>
              </w:rPr>
            </w:pPr>
          </w:p>
          <w:p w:rsidR="00D32D37" w:rsidRPr="00285A39" w:rsidRDefault="00D32D37" w:rsidP="00F61A5E">
            <w:pPr>
              <w:ind w:firstLine="513"/>
              <w:jc w:val="both"/>
              <w:textAlignment w:val="baseline"/>
              <w:rPr>
                <w:rFonts w:eastAsia="Times New Roman" w:cstheme="minorHAnsi"/>
                <w:b/>
                <w:bCs/>
                <w:color w:val="000000"/>
                <w:lang w:eastAsia="ro-RO"/>
              </w:rPr>
            </w:pPr>
            <w:r w:rsidRPr="00285A39">
              <w:rPr>
                <w:rFonts w:eastAsia="Times New Roman" w:cstheme="minorHAnsi"/>
                <w:b/>
                <w:bCs/>
                <w:color w:val="333333"/>
                <w:shd w:val="clear" w:color="auto" w:fill="FFFFFF"/>
                <w:lang w:val="en" w:eastAsia="ro-RO"/>
              </w:rPr>
              <w:t xml:space="preserve">Beneficiaries </w:t>
            </w:r>
            <w:r w:rsidRPr="00285A39">
              <w:rPr>
                <w:rFonts w:eastAsia="Times New Roman" w:cstheme="minorHAnsi"/>
                <w:b/>
                <w:bCs/>
                <w:color w:val="000000"/>
                <w:lang w:val="en" w:eastAsia="ro-RO"/>
              </w:rPr>
              <w:t>of the Supplier Development Program</w:t>
            </w:r>
          </w:p>
          <w:p w:rsidR="00D32D37" w:rsidRPr="00285A39" w:rsidRDefault="00D32D37" w:rsidP="00F61A5E">
            <w:pPr>
              <w:ind w:firstLine="513"/>
              <w:jc w:val="both"/>
              <w:textAlignment w:val="baseline"/>
              <w:rPr>
                <w:rFonts w:eastAsia="Times New Roman" w:cstheme="minorHAnsi"/>
                <w:color w:val="000000"/>
                <w:lang w:eastAsia="ro-RO"/>
              </w:rPr>
            </w:pPr>
            <w:r w:rsidRPr="00285A39">
              <w:rPr>
                <w:rFonts w:eastAsia="Times New Roman" w:cstheme="minorHAnsi"/>
                <w:color w:val="000000"/>
                <w:lang w:val="en" w:eastAsia="ro-RO"/>
              </w:rPr>
              <w:t xml:space="preserve">Small and </w:t>
            </w:r>
            <w:proofErr w:type="gramStart"/>
            <w:r w:rsidRPr="00285A39">
              <w:rPr>
                <w:rFonts w:eastAsia="Times New Roman" w:cstheme="minorHAnsi"/>
                <w:color w:val="000000"/>
                <w:lang w:val="en" w:eastAsia="ro-RO"/>
              </w:rPr>
              <w:t>Medium  Size</w:t>
            </w:r>
            <w:proofErr w:type="gramEnd"/>
            <w:r w:rsidRPr="00285A39">
              <w:rPr>
                <w:rFonts w:eastAsia="Times New Roman" w:cstheme="minorHAnsi"/>
                <w:color w:val="000000"/>
                <w:lang w:val="en" w:eastAsia="ro-RO"/>
              </w:rPr>
              <w:t xml:space="preserve"> Enterprises</w:t>
            </w:r>
          </w:p>
        </w:tc>
      </w:tr>
    </w:tbl>
    <w:p w:rsidR="00D32D37" w:rsidRPr="00285A39" w:rsidRDefault="00D32D37" w:rsidP="00D32D37">
      <w:pPr>
        <w:spacing w:after="0" w:line="240" w:lineRule="auto"/>
        <w:ind w:left="1080"/>
        <w:contextualSpacing/>
        <w:rPr>
          <w:rFonts w:cstheme="minorHAnsi"/>
          <w:b/>
          <w:bCs/>
        </w:rPr>
      </w:pPr>
    </w:p>
    <w:p w:rsidR="00D32D37" w:rsidRPr="00285A39" w:rsidRDefault="00D32D37" w:rsidP="00D32D37">
      <w:pPr>
        <w:spacing w:after="0" w:line="240" w:lineRule="auto"/>
        <w:ind w:left="1080"/>
        <w:contextualSpacing/>
        <w:rPr>
          <w:rFonts w:cstheme="minorHAnsi"/>
          <w:b/>
          <w:bCs/>
        </w:rPr>
      </w:pPr>
    </w:p>
    <w:p w:rsidR="00D32D37" w:rsidRPr="00285A39" w:rsidRDefault="00D32D37" w:rsidP="00D32D37">
      <w:pPr>
        <w:spacing w:after="0" w:line="240" w:lineRule="auto"/>
        <w:ind w:left="1080"/>
        <w:contextualSpacing/>
        <w:rPr>
          <w:rFonts w:cstheme="minorHAnsi"/>
          <w:b/>
          <w:bCs/>
        </w:rPr>
      </w:pPr>
    </w:p>
    <w:p w:rsidR="00D32D37" w:rsidRPr="00285A39" w:rsidRDefault="00D32D37" w:rsidP="00D32D37">
      <w:pPr>
        <w:spacing w:after="0" w:line="240" w:lineRule="auto"/>
        <w:ind w:left="1080"/>
        <w:contextualSpacing/>
        <w:rPr>
          <w:rFonts w:cstheme="minorHAnsi"/>
          <w:b/>
          <w:bCs/>
        </w:rPr>
      </w:pPr>
    </w:p>
    <w:p w:rsidR="00D32D37" w:rsidRPr="00285A39" w:rsidRDefault="00D32D37" w:rsidP="00D32D37">
      <w:pPr>
        <w:numPr>
          <w:ilvl w:val="0"/>
          <w:numId w:val="1"/>
        </w:numPr>
        <w:spacing w:after="0" w:line="240" w:lineRule="auto"/>
        <w:contextualSpacing/>
        <w:rPr>
          <w:rFonts w:cstheme="minorHAnsi"/>
          <w:b/>
          <w:bCs/>
        </w:rPr>
      </w:pPr>
      <w:r w:rsidRPr="00285A39">
        <w:rPr>
          <w:rFonts w:cstheme="minorHAnsi"/>
          <w:b/>
          <w:bCs/>
          <w:lang w:val="en"/>
        </w:rPr>
        <w:t>REQUIREMENTS FOR THE SOFTWARE</w:t>
      </w:r>
    </w:p>
    <w:tbl>
      <w:tblPr>
        <w:tblStyle w:val="TableGrid"/>
        <w:tblW w:w="10207" w:type="dxa"/>
        <w:tblInd w:w="-289" w:type="dxa"/>
        <w:tblLook w:val="04A0" w:firstRow="1" w:lastRow="0" w:firstColumn="1" w:lastColumn="0" w:noHBand="0" w:noVBand="1"/>
      </w:tblPr>
      <w:tblGrid>
        <w:gridCol w:w="10207"/>
      </w:tblGrid>
      <w:tr w:rsidR="00D32D37" w:rsidRPr="00285A39" w:rsidTr="00F61A5E">
        <w:tc>
          <w:tcPr>
            <w:tcW w:w="10207" w:type="dxa"/>
          </w:tcPr>
          <w:p w:rsidR="00D32D37" w:rsidRPr="00285A39" w:rsidRDefault="00D32D37" w:rsidP="00F61A5E">
            <w:pPr>
              <w:widowControl w:val="0"/>
              <w:jc w:val="both"/>
              <w:rPr>
                <w:rFonts w:eastAsia="Arial" w:cstheme="minorHAnsi"/>
                <w:color w:val="333333"/>
                <w:shd w:val="clear" w:color="auto" w:fill="FFFFFF"/>
              </w:rPr>
            </w:pPr>
            <w:r w:rsidRPr="00285A39">
              <w:rPr>
                <w:rFonts w:eastAsia="Arial" w:cstheme="minorHAnsi"/>
                <w:lang w:val="en"/>
              </w:rPr>
              <w:t>By developing its support services for SMEs</w:t>
            </w:r>
            <w:r w:rsidRPr="00285A39">
              <w:rPr>
                <w:rFonts w:eastAsia="Arial" w:cstheme="minorHAnsi"/>
                <w:color w:val="333333"/>
                <w:shd w:val="clear" w:color="auto" w:fill="FFFFFF"/>
                <w:lang w:val="en"/>
              </w:rPr>
              <w:t>, creating and strengthening links with local and foreign partners, ODA wishes to integrate Moldovan SMEs into regional and global value chains what will increase the number of B2B matchmaking events as well as of enterprises interested in participating.</w:t>
            </w:r>
          </w:p>
          <w:p w:rsidR="00D32D37" w:rsidRPr="00285A39" w:rsidRDefault="00D32D37" w:rsidP="00F61A5E">
            <w:pPr>
              <w:widowControl w:val="0"/>
              <w:ind w:firstLine="456"/>
              <w:jc w:val="both"/>
              <w:rPr>
                <w:rFonts w:eastAsia="Arial" w:cstheme="minorHAnsi"/>
                <w:lang w:val="en"/>
              </w:rPr>
            </w:pPr>
            <w:r w:rsidRPr="00285A39">
              <w:rPr>
                <w:rFonts w:eastAsia="Arial" w:cstheme="minorHAnsi"/>
                <w:lang w:val="en"/>
              </w:rPr>
              <w:t xml:space="preserve">Planning and organizing different events will require resources in terms of communication, marketing, </w:t>
            </w:r>
            <w:r w:rsidRPr="00285A39">
              <w:rPr>
                <w:rFonts w:ascii="Arial" w:eastAsia="Arial" w:hAnsi="Arial" w:cs="Arial"/>
                <w:sz w:val="20"/>
                <w:szCs w:val="20"/>
              </w:rPr>
              <w:t>landing page creation and management</w:t>
            </w:r>
            <w:r w:rsidRPr="00285A39">
              <w:rPr>
                <w:rFonts w:eastAsia="Arial" w:cstheme="minorHAnsi"/>
                <w:lang w:val="en"/>
              </w:rPr>
              <w:t xml:space="preserve">, event management, </w:t>
            </w:r>
            <w:r w:rsidRPr="00285A39">
              <w:rPr>
                <w:rFonts w:ascii="Arial" w:eastAsia="Arial" w:hAnsi="Arial" w:cs="Arial"/>
                <w:sz w:val="20"/>
                <w:szCs w:val="20"/>
              </w:rPr>
              <w:t>contacts storage, and its continuous update, followed at a later stage, with registration and tracking of participants and active companies, review of tools efficiency, and other relevant processes.</w:t>
            </w:r>
          </w:p>
          <w:p w:rsidR="00D32D37" w:rsidRPr="00285A39" w:rsidRDefault="00D32D37" w:rsidP="00F61A5E">
            <w:pPr>
              <w:widowControl w:val="0"/>
              <w:ind w:firstLine="456"/>
              <w:jc w:val="both"/>
              <w:rPr>
                <w:rFonts w:eastAsia="Arial" w:cstheme="minorHAnsi"/>
              </w:rPr>
            </w:pPr>
            <w:r w:rsidRPr="00285A39">
              <w:rPr>
                <w:rFonts w:eastAsia="Arial" w:cstheme="minorHAnsi"/>
                <w:lang w:val="en"/>
              </w:rPr>
              <w:t>In this context, a cloud-based platform (acting in a similar way), all-in-one event management is required to meet the desired set of activities in an organized and centralized manner, with direct access for the team involved that includes the following functionalities aimed at streamlining the organization and management of events:</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Storing the database of contacts of enterprises with the possibility of building, developing business communities (classification / filtering according to different criteria e.g.: type of activity, markets of interest, etc.);</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An intuitive and accessible interface of the platform, in accordance with the best practices UX/UI-Establishing the hierarchy and the level of access to data for the team including for possible volunteers who will be connected in organizing events, therefore, access to the resources of the platform must be limited;</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Marketing tools, including newsletter options, invitations and automatic event reminders;</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Complete event management tools, starting with the creation of a landing page through compilation tools, promotion campaigns, registration, live check-in of participants and post-event follow-up, newsletters, email campaigns. The tools will integrate both functionalities and templates-themes that allow the customization of event management tools;</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A desktop and mobile version of the platform is desired, for quick access to the database and registration options for both the implementation team and the beneficiary enterprises;</w:t>
            </w:r>
          </w:p>
          <w:p w:rsidR="00D32D37" w:rsidRPr="00285A39" w:rsidRDefault="00D32D37" w:rsidP="00D32D37">
            <w:pPr>
              <w:widowControl w:val="0"/>
              <w:numPr>
                <w:ilvl w:val="0"/>
                <w:numId w:val="4"/>
              </w:numPr>
              <w:ind w:firstLine="456"/>
              <w:jc w:val="both"/>
              <w:rPr>
                <w:rFonts w:eastAsia="Arial" w:cstheme="minorHAnsi"/>
              </w:rPr>
            </w:pPr>
            <w:r w:rsidRPr="00285A39">
              <w:rPr>
                <w:rFonts w:eastAsia="Arial" w:cstheme="minorHAnsi"/>
                <w:lang w:val="en"/>
              </w:rPr>
              <w:t xml:space="preserve">Possibility of integrating API with </w:t>
            </w:r>
            <w:hyperlink r:id="rId5" w:history="1">
              <w:r w:rsidRPr="00285A39">
                <w:rPr>
                  <w:rFonts w:eastAsia="Arial" w:cstheme="minorHAnsi"/>
                  <w:color w:val="0563C1" w:themeColor="hyperlink"/>
                  <w:u w:val="single"/>
                  <w:lang w:val="en"/>
                </w:rPr>
                <w:t>www.BusinessLink.md</w:t>
              </w:r>
            </w:hyperlink>
            <w:r w:rsidRPr="00285A39">
              <w:rPr>
                <w:rFonts w:eastAsia="Arial" w:cstheme="minorHAnsi"/>
                <w:lang w:val="en"/>
              </w:rPr>
              <w:t xml:space="preserve"> and </w:t>
            </w:r>
            <w:hyperlink r:id="rId6" w:history="1">
              <w:r w:rsidRPr="00285A39">
                <w:rPr>
                  <w:rFonts w:eastAsia="Arial" w:cstheme="minorHAnsi"/>
                  <w:color w:val="0563C1" w:themeColor="hyperlink"/>
                  <w:u w:val="single"/>
                  <w:lang w:val="en"/>
                </w:rPr>
                <w:t>www.ODA.md</w:t>
              </w:r>
            </w:hyperlink>
            <w:r w:rsidRPr="00285A39">
              <w:rPr>
                <w:rFonts w:eastAsia="Arial" w:cstheme="minorHAnsi"/>
                <w:lang w:val="en"/>
              </w:rPr>
              <w:t>;</w:t>
            </w:r>
          </w:p>
          <w:p w:rsidR="00D32D37" w:rsidRPr="00285A39" w:rsidRDefault="00D32D37" w:rsidP="00F61A5E">
            <w:pPr>
              <w:widowControl w:val="0"/>
              <w:ind w:firstLine="456"/>
              <w:jc w:val="both"/>
              <w:rPr>
                <w:rFonts w:eastAsia="Arial" w:cstheme="minorHAnsi"/>
              </w:rPr>
            </w:pPr>
          </w:p>
          <w:p w:rsidR="00D32D37" w:rsidRPr="00285A39" w:rsidRDefault="00D32D37" w:rsidP="00F61A5E">
            <w:pPr>
              <w:widowControl w:val="0"/>
              <w:ind w:firstLine="456"/>
              <w:jc w:val="both"/>
              <w:rPr>
                <w:rFonts w:eastAsia="Arial" w:cstheme="minorHAnsi"/>
              </w:rPr>
            </w:pPr>
            <w:r w:rsidRPr="00285A39">
              <w:rPr>
                <w:rFonts w:eastAsia="Arial" w:cstheme="minorHAnsi"/>
                <w:lang w:val="en"/>
              </w:rPr>
              <w:t>Also, the bidder shall ensure:</w:t>
            </w:r>
          </w:p>
          <w:p w:rsidR="00D32D37" w:rsidRPr="00285A39" w:rsidRDefault="00D32D37" w:rsidP="00F61A5E">
            <w:pPr>
              <w:widowControl w:val="0"/>
              <w:shd w:val="clear" w:color="auto" w:fill="FFFFFF"/>
              <w:ind w:firstLine="456"/>
              <w:jc w:val="both"/>
              <w:rPr>
                <w:rFonts w:eastAsia="Arial" w:cstheme="minorHAnsi"/>
                <w:b/>
                <w:bCs/>
              </w:rPr>
            </w:pPr>
            <w:r w:rsidRPr="00285A39">
              <w:rPr>
                <w:rFonts w:eastAsia="Arial" w:cstheme="minorHAnsi"/>
                <w:b/>
                <w:bCs/>
                <w:lang w:val="en"/>
              </w:rPr>
              <w:t>a) Training</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In the process of transmission into operation of the system it is necessary to perform, according to the schedule agreed with the ODA, the training of the administrators on:</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 system configuration;</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 xml:space="preserve">- configuring the mechanism of </w:t>
            </w:r>
            <w:proofErr w:type="spellStart"/>
            <w:r w:rsidRPr="00285A39">
              <w:rPr>
                <w:rFonts w:eastAsia="Arial" w:cstheme="minorHAnsi"/>
                <w:lang w:val="en"/>
              </w:rPr>
              <w:t>BackUp</w:t>
            </w:r>
            <w:proofErr w:type="spellEnd"/>
            <w:r w:rsidRPr="00285A39">
              <w:rPr>
                <w:rFonts w:eastAsia="Arial" w:cstheme="minorHAnsi"/>
                <w:lang w:val="en"/>
              </w:rPr>
              <w:t xml:space="preserve"> and Restore (Restore).</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 training the end-users of the system to a specified number of users.</w:t>
            </w:r>
          </w:p>
          <w:p w:rsidR="00D32D37" w:rsidRPr="00285A39" w:rsidRDefault="00D32D37" w:rsidP="00F61A5E">
            <w:pPr>
              <w:widowControl w:val="0"/>
              <w:shd w:val="clear" w:color="auto" w:fill="FFFFFF"/>
              <w:ind w:firstLine="456"/>
              <w:jc w:val="both"/>
              <w:rPr>
                <w:rFonts w:eastAsia="Arial" w:cstheme="minorHAnsi"/>
                <w:b/>
                <w:bCs/>
              </w:rPr>
            </w:pPr>
            <w:r w:rsidRPr="00285A39">
              <w:rPr>
                <w:rFonts w:eastAsia="Arial" w:cstheme="minorHAnsi"/>
                <w:b/>
                <w:bCs/>
                <w:lang w:val="en"/>
              </w:rPr>
              <w:t>b) Piloting</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Piloting will be carried out:</w:t>
            </w:r>
          </w:p>
          <w:p w:rsidR="00D32D37" w:rsidRPr="00285A39" w:rsidRDefault="00D32D37" w:rsidP="00D32D37">
            <w:pPr>
              <w:widowControl w:val="0"/>
              <w:numPr>
                <w:ilvl w:val="0"/>
                <w:numId w:val="6"/>
              </w:numPr>
              <w:shd w:val="clear" w:color="auto" w:fill="FFFFFF"/>
              <w:tabs>
                <w:tab w:val="left" w:pos="598"/>
              </w:tabs>
              <w:ind w:left="456" w:firstLine="0"/>
              <w:jc w:val="both"/>
              <w:rPr>
                <w:rFonts w:eastAsia="Arial" w:cstheme="minorHAnsi"/>
              </w:rPr>
            </w:pPr>
            <w:r w:rsidRPr="00285A39">
              <w:rPr>
                <w:rFonts w:eastAsia="Arial" w:cstheme="minorHAnsi"/>
                <w:lang w:val="en"/>
              </w:rPr>
              <w:t>with the involvement of the activity of at least 3 ODA employees with different profile at the proposal of the ODA;</w:t>
            </w:r>
          </w:p>
          <w:p w:rsidR="00D32D37" w:rsidRPr="00285A39" w:rsidRDefault="00D32D37" w:rsidP="00D32D37">
            <w:pPr>
              <w:widowControl w:val="0"/>
              <w:numPr>
                <w:ilvl w:val="0"/>
                <w:numId w:val="6"/>
              </w:numPr>
              <w:shd w:val="clear" w:color="auto" w:fill="FFFFFF"/>
              <w:tabs>
                <w:tab w:val="left" w:pos="598"/>
              </w:tabs>
              <w:ind w:left="456" w:firstLine="0"/>
              <w:jc w:val="both"/>
              <w:rPr>
                <w:rFonts w:eastAsia="Arial" w:cstheme="minorHAnsi"/>
              </w:rPr>
            </w:pPr>
            <w:r w:rsidRPr="00285A39">
              <w:rPr>
                <w:rFonts w:eastAsia="Arial" w:cstheme="minorHAnsi"/>
                <w:lang w:val="en"/>
              </w:rPr>
              <w:t>with the participation of a limited group of users, established by the ODA;</w:t>
            </w:r>
          </w:p>
          <w:p w:rsidR="00D32D37" w:rsidRPr="00285A39" w:rsidRDefault="00D32D37" w:rsidP="00F61A5E">
            <w:pPr>
              <w:widowControl w:val="0"/>
              <w:shd w:val="clear" w:color="auto" w:fill="FFFFFF"/>
              <w:tabs>
                <w:tab w:val="left" w:pos="598"/>
              </w:tabs>
              <w:ind w:left="456"/>
              <w:jc w:val="both"/>
              <w:rPr>
                <w:rFonts w:eastAsia="Arial" w:cstheme="minorHAnsi"/>
                <w:b/>
                <w:bCs/>
              </w:rPr>
            </w:pPr>
            <w:r w:rsidRPr="00285A39">
              <w:rPr>
                <w:rFonts w:eastAsia="Arial" w:cstheme="minorHAnsi"/>
                <w:b/>
                <w:bCs/>
                <w:lang w:val="en"/>
              </w:rPr>
              <w:t>c) Maintenance of SMI</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From the moment of transmission into operation, during two years, maintenance services will be provided for all system components, the software, as well, which include:</w:t>
            </w:r>
          </w:p>
          <w:p w:rsidR="00D32D37" w:rsidRPr="00285A39" w:rsidRDefault="00D32D37" w:rsidP="00F61A5E">
            <w:pPr>
              <w:widowControl w:val="0"/>
              <w:shd w:val="clear" w:color="auto" w:fill="FFFFFF"/>
              <w:tabs>
                <w:tab w:val="left" w:pos="598"/>
              </w:tabs>
              <w:ind w:firstLine="456"/>
              <w:jc w:val="both"/>
              <w:rPr>
                <w:rFonts w:eastAsia="Arial" w:cstheme="minorHAnsi"/>
              </w:rPr>
            </w:pPr>
            <w:r w:rsidRPr="00285A39">
              <w:rPr>
                <w:rFonts w:eastAsia="Arial" w:cstheme="minorHAnsi"/>
                <w:lang w:val="en"/>
              </w:rPr>
              <w:t>-adjusting the SMI according to the needs of improving the software system by removing the errors detected in the process of system operation, as well as adjusting it in case of modification of the normative-legal framework.</w:t>
            </w:r>
          </w:p>
          <w:p w:rsidR="00D32D37" w:rsidRPr="00285A39" w:rsidRDefault="00D32D37" w:rsidP="00F61A5E">
            <w:pPr>
              <w:widowControl w:val="0"/>
              <w:shd w:val="clear" w:color="auto" w:fill="FFFFFF"/>
              <w:tabs>
                <w:tab w:val="left" w:pos="598"/>
              </w:tabs>
              <w:ind w:firstLine="456"/>
              <w:jc w:val="both"/>
              <w:rPr>
                <w:rFonts w:eastAsia="Arial" w:cstheme="minorHAnsi"/>
              </w:rPr>
            </w:pPr>
            <w:r w:rsidRPr="00285A39">
              <w:rPr>
                <w:rFonts w:eastAsia="Arial" w:cstheme="minorHAnsi"/>
                <w:lang w:val="en"/>
              </w:rPr>
              <w:t>-solving incidents and problems;</w:t>
            </w:r>
          </w:p>
          <w:p w:rsidR="00D32D37" w:rsidRPr="00285A39" w:rsidRDefault="00D32D37" w:rsidP="00F61A5E">
            <w:pPr>
              <w:widowControl w:val="0"/>
              <w:shd w:val="clear" w:color="auto" w:fill="FFFFFF"/>
              <w:tabs>
                <w:tab w:val="left" w:pos="598"/>
              </w:tabs>
              <w:ind w:firstLine="456"/>
              <w:jc w:val="both"/>
              <w:rPr>
                <w:rFonts w:eastAsia="Arial" w:cstheme="minorHAnsi"/>
              </w:rPr>
            </w:pPr>
            <w:r w:rsidRPr="00285A39">
              <w:rPr>
                <w:rFonts w:eastAsia="Arial" w:cstheme="minorHAnsi"/>
                <w:lang w:val="en"/>
              </w:rPr>
              <w:t>-providing new updates, launching new versions or patches;</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 xml:space="preserve">The supplier must be available for receiving and solving support requests in the regime of 5/7 (5 working </w:t>
            </w:r>
            <w:r w:rsidRPr="00285A39">
              <w:rPr>
                <w:rFonts w:eastAsia="Arial" w:cstheme="minorHAnsi"/>
                <w:lang w:val="en"/>
              </w:rPr>
              <w:lastRenderedPageBreak/>
              <w:t>days of the week).</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Maintenance must be ensured by observing the following level of service:</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-Critical service – 5/7, reaction time – 1 hour, response time – 2 hours, remediation time – 3 hours.</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 xml:space="preserve">-Standard service -- 5/7. </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The reaction time should be &lt;4 hours after the registration of support requests. The response time (the minimum time to present an incident remediation scenario) should not exceed 2 business days.</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For the communication with the supplier and the registration of the support requests (service desk) in the service contract will be indicated:</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a) the unique telephone number and e-mail address of the support service;</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b) the list of persons responsible by type of incident and their contact telephone numbers;</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c) the unique e-mail address for sending support requests and/or the web address of the service desk interface;</w:t>
            </w:r>
          </w:p>
          <w:p w:rsidR="00D32D37" w:rsidRPr="00285A39" w:rsidRDefault="00D32D37" w:rsidP="00F61A5E">
            <w:pPr>
              <w:widowControl w:val="0"/>
              <w:shd w:val="clear" w:color="auto" w:fill="FFFFFF"/>
              <w:ind w:firstLine="456"/>
              <w:jc w:val="both"/>
              <w:rPr>
                <w:rFonts w:eastAsia="Arial" w:cstheme="minorHAnsi"/>
              </w:rPr>
            </w:pPr>
            <w:r w:rsidRPr="00285A39">
              <w:rPr>
                <w:rFonts w:eastAsia="Arial" w:cstheme="minorHAnsi"/>
                <w:lang w:val="en"/>
              </w:rPr>
              <w:t>d)connection to the manufacturer's forum on technical support, as appropriate.</w:t>
            </w:r>
          </w:p>
          <w:p w:rsidR="00D32D37" w:rsidRPr="00285A39" w:rsidRDefault="00D32D37" w:rsidP="00F61A5E">
            <w:pPr>
              <w:widowControl w:val="0"/>
              <w:ind w:firstLine="456"/>
              <w:jc w:val="both"/>
              <w:rPr>
                <w:rFonts w:eastAsia="Arial" w:cstheme="minorHAnsi"/>
              </w:rPr>
            </w:pPr>
            <w:r w:rsidRPr="00285A39">
              <w:rPr>
                <w:rFonts w:eastAsia="Arial" w:cstheme="minorHAnsi"/>
                <w:lang w:val="en"/>
              </w:rPr>
              <w:t>The language of communication with the service desk can be Romanian, English, Russian.</w:t>
            </w:r>
          </w:p>
          <w:p w:rsidR="00D32D37" w:rsidRPr="00285A39" w:rsidRDefault="00D32D37" w:rsidP="00F61A5E">
            <w:pPr>
              <w:widowControl w:val="0"/>
              <w:ind w:firstLine="456"/>
              <w:jc w:val="both"/>
              <w:rPr>
                <w:rFonts w:eastAsia="Arial" w:cstheme="minorHAnsi"/>
              </w:rPr>
            </w:pPr>
          </w:p>
          <w:p w:rsidR="00D32D37" w:rsidRPr="00285A39" w:rsidRDefault="00D32D37" w:rsidP="00F61A5E">
            <w:pPr>
              <w:widowControl w:val="0"/>
              <w:jc w:val="both"/>
              <w:rPr>
                <w:rFonts w:eastAsia="Arial" w:cstheme="minorHAnsi"/>
              </w:rPr>
            </w:pPr>
            <w:r w:rsidRPr="00285A39">
              <w:rPr>
                <w:rFonts w:eastAsia="Arial" w:cstheme="minorHAnsi"/>
                <w:lang w:val="en"/>
              </w:rPr>
              <w:t>The features mentioned above are intended to be combined/integrated into a platform/software product to effectively plan and manage events of up to 300 people and communication campaigns related to it.</w:t>
            </w:r>
          </w:p>
        </w:tc>
      </w:tr>
    </w:tbl>
    <w:p w:rsidR="00D32D37" w:rsidRPr="00285A39" w:rsidRDefault="00D32D37" w:rsidP="00D32D37">
      <w:pPr>
        <w:spacing w:after="0" w:line="240" w:lineRule="auto"/>
        <w:ind w:left="360"/>
        <w:rPr>
          <w:rFonts w:cstheme="minorHAnsi"/>
        </w:rPr>
      </w:pPr>
    </w:p>
    <w:p w:rsidR="00D32D37" w:rsidRPr="00285A39" w:rsidRDefault="00D32D37" w:rsidP="00D32D37">
      <w:pPr>
        <w:numPr>
          <w:ilvl w:val="0"/>
          <w:numId w:val="1"/>
        </w:numPr>
        <w:spacing w:after="0" w:line="240" w:lineRule="auto"/>
        <w:contextualSpacing/>
        <w:rPr>
          <w:rFonts w:cstheme="minorHAnsi"/>
          <w:b/>
          <w:bCs/>
        </w:rPr>
      </w:pPr>
      <w:r w:rsidRPr="00285A39">
        <w:rPr>
          <w:rFonts w:cstheme="minorHAnsi"/>
          <w:b/>
          <w:bCs/>
          <w:lang w:val="en"/>
        </w:rPr>
        <w:t>DELIVERABLES</w:t>
      </w:r>
    </w:p>
    <w:tbl>
      <w:tblPr>
        <w:tblStyle w:val="TableGrid"/>
        <w:tblW w:w="10207" w:type="dxa"/>
        <w:tblInd w:w="-289" w:type="dxa"/>
        <w:tblLook w:val="04A0" w:firstRow="1" w:lastRow="0" w:firstColumn="1" w:lastColumn="0" w:noHBand="0" w:noVBand="1"/>
      </w:tblPr>
      <w:tblGrid>
        <w:gridCol w:w="10207"/>
      </w:tblGrid>
      <w:tr w:rsidR="00D32D37" w:rsidRPr="00285A39" w:rsidTr="00F61A5E">
        <w:tc>
          <w:tcPr>
            <w:tcW w:w="10207" w:type="dxa"/>
          </w:tcPr>
          <w:p w:rsidR="00D32D37" w:rsidRPr="00285A39" w:rsidRDefault="00D32D37" w:rsidP="00F61A5E">
            <w:pPr>
              <w:rPr>
                <w:rFonts w:cstheme="minorHAnsi"/>
              </w:rPr>
            </w:pPr>
            <w:r w:rsidRPr="00285A39">
              <w:rPr>
                <w:rFonts w:cstheme="minorHAnsi"/>
                <w:lang w:val="en"/>
              </w:rPr>
              <w:t>A specifically designed, established, recognized commercial software product available on the market at the time of publication of the procurement procedure that:</w:t>
            </w:r>
          </w:p>
          <w:p w:rsidR="00D32D37" w:rsidRPr="00285A39" w:rsidRDefault="00D32D37" w:rsidP="00F61A5E">
            <w:pPr>
              <w:rPr>
                <w:rFonts w:cstheme="minorHAnsi"/>
              </w:rPr>
            </w:pPr>
            <w:r w:rsidRPr="00285A39">
              <w:rPr>
                <w:rFonts w:cstheme="minorHAnsi"/>
                <w:lang w:val="en"/>
              </w:rPr>
              <w:t>- is present on the national and international market;</w:t>
            </w:r>
          </w:p>
          <w:p w:rsidR="00D32D37" w:rsidRPr="00285A39" w:rsidRDefault="00D32D37" w:rsidP="00F61A5E">
            <w:pPr>
              <w:rPr>
                <w:rFonts w:cstheme="minorHAnsi"/>
              </w:rPr>
            </w:pPr>
            <w:r w:rsidRPr="00285A39">
              <w:rPr>
                <w:rFonts w:cstheme="minorHAnsi"/>
                <w:lang w:val="en"/>
              </w:rPr>
              <w:t>- provides access services on the cloud-based platform (acting in a similar way), all-in-one event management to fulfill the set of activities specified in Section II.</w:t>
            </w:r>
          </w:p>
          <w:p w:rsidR="00D32D37" w:rsidRPr="00285A39" w:rsidRDefault="00D32D37" w:rsidP="00F61A5E">
            <w:pPr>
              <w:rPr>
                <w:rFonts w:cstheme="minorHAnsi"/>
              </w:rPr>
            </w:pPr>
            <w:r w:rsidRPr="00285A39">
              <w:rPr>
                <w:rFonts w:cstheme="minorHAnsi"/>
                <w:lang w:val="en"/>
              </w:rPr>
              <w:t>- it is designed as adaptable and configurable by the customer.</w:t>
            </w:r>
          </w:p>
          <w:p w:rsidR="00D32D37" w:rsidRPr="00285A39" w:rsidRDefault="00D32D37" w:rsidP="00F61A5E">
            <w:pPr>
              <w:rPr>
                <w:rFonts w:cstheme="minorHAnsi"/>
              </w:rPr>
            </w:pPr>
          </w:p>
        </w:tc>
      </w:tr>
    </w:tbl>
    <w:p w:rsidR="00D32D37" w:rsidRPr="00285A39" w:rsidRDefault="00D32D37" w:rsidP="00D32D37">
      <w:pPr>
        <w:spacing w:after="0" w:line="240" w:lineRule="auto"/>
        <w:ind w:left="360"/>
        <w:rPr>
          <w:rFonts w:cstheme="minorHAnsi"/>
        </w:rPr>
      </w:pPr>
    </w:p>
    <w:p w:rsidR="00D32D37" w:rsidRPr="00285A39" w:rsidRDefault="00D32D37" w:rsidP="00D32D37">
      <w:pPr>
        <w:numPr>
          <w:ilvl w:val="0"/>
          <w:numId w:val="1"/>
        </w:numPr>
        <w:spacing w:after="0" w:line="240" w:lineRule="auto"/>
        <w:contextualSpacing/>
        <w:rPr>
          <w:rFonts w:cstheme="minorHAnsi"/>
          <w:b/>
          <w:bCs/>
        </w:rPr>
      </w:pPr>
      <w:r w:rsidRPr="00285A39">
        <w:rPr>
          <w:rFonts w:cstheme="minorHAnsi"/>
          <w:b/>
          <w:bCs/>
          <w:lang w:val="en"/>
        </w:rPr>
        <w:t>CONTENT OF THE OFFER</w:t>
      </w:r>
    </w:p>
    <w:tbl>
      <w:tblPr>
        <w:tblStyle w:val="TableGrid"/>
        <w:tblW w:w="10207" w:type="dxa"/>
        <w:tblInd w:w="-289" w:type="dxa"/>
        <w:tblLook w:val="04A0" w:firstRow="1" w:lastRow="0" w:firstColumn="1" w:lastColumn="0" w:noHBand="0" w:noVBand="1"/>
      </w:tblPr>
      <w:tblGrid>
        <w:gridCol w:w="10207"/>
      </w:tblGrid>
      <w:tr w:rsidR="00D32D37" w:rsidRPr="00285A39" w:rsidTr="00F61A5E">
        <w:tc>
          <w:tcPr>
            <w:tcW w:w="10207" w:type="dxa"/>
          </w:tcPr>
          <w:p w:rsidR="00D32D37" w:rsidRPr="00285A39" w:rsidRDefault="00D32D37" w:rsidP="00F61A5E">
            <w:pPr>
              <w:rPr>
                <w:rFonts w:cstheme="minorHAnsi"/>
              </w:rPr>
            </w:pPr>
            <w:r w:rsidRPr="00285A39">
              <w:rPr>
                <w:rFonts w:cstheme="minorHAnsi"/>
                <w:b/>
                <w:bCs/>
                <w:lang w:val="en"/>
              </w:rPr>
              <w:t>The tender submitted by the economic operator must necessarily contain at least the following components:</w:t>
            </w:r>
          </w:p>
          <w:p w:rsidR="00D32D37" w:rsidRPr="00285A39" w:rsidRDefault="00D32D37" w:rsidP="00D32D37">
            <w:pPr>
              <w:numPr>
                <w:ilvl w:val="0"/>
                <w:numId w:val="5"/>
              </w:numPr>
              <w:contextualSpacing/>
              <w:rPr>
                <w:rFonts w:cstheme="minorHAnsi"/>
              </w:rPr>
            </w:pPr>
            <w:r w:rsidRPr="00285A39">
              <w:rPr>
                <w:rFonts w:cstheme="minorHAnsi"/>
                <w:lang w:val="en"/>
              </w:rPr>
              <w:t>License for a minimum of 10 users;</w:t>
            </w:r>
          </w:p>
          <w:p w:rsidR="00D32D37" w:rsidRPr="00285A39" w:rsidRDefault="00D32D37" w:rsidP="00D32D37">
            <w:pPr>
              <w:numPr>
                <w:ilvl w:val="0"/>
                <w:numId w:val="5"/>
              </w:numPr>
              <w:contextualSpacing/>
              <w:rPr>
                <w:rFonts w:cstheme="minorHAnsi"/>
              </w:rPr>
            </w:pPr>
            <w:r w:rsidRPr="00285A39">
              <w:rPr>
                <w:rFonts w:cstheme="minorHAnsi"/>
                <w:lang w:val="en"/>
              </w:rPr>
              <w:t>Storage and management of at least 1000 contacts;</w:t>
            </w:r>
          </w:p>
          <w:p w:rsidR="00D32D37" w:rsidRPr="00285A39" w:rsidRDefault="00D32D37" w:rsidP="00D32D37">
            <w:pPr>
              <w:numPr>
                <w:ilvl w:val="0"/>
                <w:numId w:val="5"/>
              </w:numPr>
              <w:contextualSpacing/>
              <w:rPr>
                <w:rFonts w:cstheme="minorHAnsi"/>
              </w:rPr>
            </w:pPr>
            <w:r w:rsidRPr="00285A39">
              <w:rPr>
                <w:rFonts w:cstheme="minorHAnsi"/>
                <w:lang w:val="en"/>
              </w:rPr>
              <w:t>Minimum number of events 50 annually;</w:t>
            </w:r>
          </w:p>
          <w:p w:rsidR="00D32D37" w:rsidRPr="00285A39" w:rsidRDefault="00D32D37" w:rsidP="00D32D37">
            <w:pPr>
              <w:numPr>
                <w:ilvl w:val="0"/>
                <w:numId w:val="5"/>
              </w:numPr>
              <w:contextualSpacing/>
              <w:rPr>
                <w:rFonts w:cstheme="minorHAnsi"/>
              </w:rPr>
            </w:pPr>
            <w:r w:rsidRPr="00285A39">
              <w:rPr>
                <w:rFonts w:cstheme="minorHAnsi"/>
                <w:lang w:val="en"/>
              </w:rPr>
              <w:t>Minimum number of event participants 300;</w:t>
            </w:r>
          </w:p>
          <w:p w:rsidR="00D32D37" w:rsidRPr="00285A39" w:rsidRDefault="00D32D37" w:rsidP="00D32D37">
            <w:pPr>
              <w:numPr>
                <w:ilvl w:val="0"/>
                <w:numId w:val="5"/>
              </w:numPr>
              <w:contextualSpacing/>
              <w:rPr>
                <w:rFonts w:cstheme="minorHAnsi"/>
              </w:rPr>
            </w:pPr>
            <w:r w:rsidRPr="00285A39">
              <w:rPr>
                <w:rFonts w:cstheme="minorHAnsi"/>
                <w:lang w:val="en"/>
              </w:rPr>
              <w:t>Minimum Number of Email sent 50 000 annually.</w:t>
            </w:r>
          </w:p>
          <w:p w:rsidR="00D32D37" w:rsidRPr="00285A39" w:rsidRDefault="00D32D37" w:rsidP="00F61A5E">
            <w:pPr>
              <w:ind w:left="360"/>
              <w:rPr>
                <w:rFonts w:cstheme="minorHAnsi"/>
              </w:rPr>
            </w:pPr>
          </w:p>
        </w:tc>
      </w:tr>
    </w:tbl>
    <w:p w:rsidR="00D32D37" w:rsidRPr="00285A39" w:rsidRDefault="00D32D37" w:rsidP="00D32D37">
      <w:pPr>
        <w:spacing w:after="0" w:line="240" w:lineRule="auto"/>
        <w:ind w:left="360"/>
        <w:rPr>
          <w:rFonts w:cstheme="minorHAnsi"/>
        </w:rPr>
      </w:pPr>
    </w:p>
    <w:p w:rsidR="00D32D37" w:rsidRPr="00285A39" w:rsidRDefault="00D32D37" w:rsidP="00D32D37">
      <w:pPr>
        <w:numPr>
          <w:ilvl w:val="0"/>
          <w:numId w:val="1"/>
        </w:numPr>
        <w:spacing w:after="0" w:line="240" w:lineRule="auto"/>
        <w:contextualSpacing/>
        <w:rPr>
          <w:rFonts w:cstheme="minorHAnsi"/>
          <w:b/>
          <w:bCs/>
        </w:rPr>
      </w:pPr>
      <w:r w:rsidRPr="00285A39">
        <w:rPr>
          <w:rFonts w:cstheme="minorHAnsi"/>
          <w:b/>
          <w:bCs/>
          <w:lang w:val="en"/>
        </w:rPr>
        <w:t>TERMS OF SERVICE</w:t>
      </w:r>
    </w:p>
    <w:tbl>
      <w:tblPr>
        <w:tblStyle w:val="TableGrid"/>
        <w:tblW w:w="10207" w:type="dxa"/>
        <w:tblInd w:w="-289" w:type="dxa"/>
        <w:tblLook w:val="04A0" w:firstRow="1" w:lastRow="0" w:firstColumn="1" w:lastColumn="0" w:noHBand="0" w:noVBand="1"/>
      </w:tblPr>
      <w:tblGrid>
        <w:gridCol w:w="10207"/>
      </w:tblGrid>
      <w:tr w:rsidR="00D32D37" w:rsidRPr="00285A39" w:rsidTr="00F61A5E">
        <w:tc>
          <w:tcPr>
            <w:tcW w:w="10207" w:type="dxa"/>
          </w:tcPr>
          <w:p w:rsidR="00D32D37" w:rsidRPr="00285A39" w:rsidRDefault="00D32D37" w:rsidP="00F61A5E">
            <w:pPr>
              <w:rPr>
                <w:rFonts w:cstheme="minorHAnsi"/>
              </w:rPr>
            </w:pPr>
            <w:r w:rsidRPr="00285A39">
              <w:rPr>
                <w:rFonts w:cstheme="minorHAnsi"/>
                <w:lang w:val="en"/>
              </w:rPr>
              <w:t>The access services will be provided for a period of 24 months (estimated by February 2022 – February 2024 with the possibility of extending the term).</w:t>
            </w:r>
          </w:p>
          <w:p w:rsidR="00D32D37" w:rsidRPr="00285A39" w:rsidRDefault="00D32D37" w:rsidP="00F61A5E">
            <w:pPr>
              <w:rPr>
                <w:rFonts w:cstheme="minorHAnsi"/>
              </w:rPr>
            </w:pPr>
          </w:p>
        </w:tc>
      </w:tr>
    </w:tbl>
    <w:p w:rsidR="00D32D37" w:rsidRPr="00285A39" w:rsidRDefault="00D32D37" w:rsidP="00D32D37">
      <w:pPr>
        <w:spacing w:after="0" w:line="240" w:lineRule="auto"/>
        <w:ind w:left="360"/>
        <w:rPr>
          <w:rFonts w:cstheme="minorHAnsi"/>
        </w:rPr>
      </w:pPr>
    </w:p>
    <w:p w:rsidR="00D32D37" w:rsidRPr="00DD66C1" w:rsidRDefault="00D32D37" w:rsidP="00D32D37">
      <w:pPr>
        <w:spacing w:after="0" w:line="240" w:lineRule="auto"/>
        <w:ind w:left="360"/>
        <w:rPr>
          <w:rFonts w:ascii="Times New Roman" w:hAnsi="Times New Roman" w:cs="Times New Roman"/>
        </w:rPr>
      </w:pPr>
    </w:p>
    <w:p w:rsidR="00BE3C1A" w:rsidRDefault="00BE3C1A"/>
    <w:sectPr w:rsidR="00BE3C1A" w:rsidSect="00D32D37">
      <w:pgSz w:w="12366" w:h="17712"/>
      <w:pgMar w:top="1440" w:right="1440" w:bottom="1440" w:left="1440" w:header="0" w:footer="6" w:gutter="0"/>
      <w:cols w:space="124"/>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43326"/>
    <w:multiLevelType w:val="hybridMultilevel"/>
    <w:tmpl w:val="AAE6D8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1F210E6"/>
    <w:multiLevelType w:val="hybridMultilevel"/>
    <w:tmpl w:val="A5BEFD20"/>
    <w:lvl w:ilvl="0" w:tplc="BBCE6D80">
      <w:start w:val="2"/>
      <w:numFmt w:val="bullet"/>
      <w:lvlText w:val="-"/>
      <w:lvlJc w:val="left"/>
      <w:pPr>
        <w:ind w:left="720" w:hanging="360"/>
      </w:pPr>
      <w:rPr>
        <w:rFonts w:ascii="Times New Roman" w:eastAsia="Arial"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E50F39"/>
    <w:multiLevelType w:val="hybridMultilevel"/>
    <w:tmpl w:val="5B3EDCE4"/>
    <w:lvl w:ilvl="0" w:tplc="BBCE6D80">
      <w:start w:val="2"/>
      <w:numFmt w:val="bullet"/>
      <w:lvlText w:val="-"/>
      <w:lvlJc w:val="left"/>
      <w:pPr>
        <w:ind w:left="1176" w:hanging="360"/>
      </w:pPr>
      <w:rPr>
        <w:rFonts w:ascii="Times New Roman" w:eastAsia="Arial" w:hAnsi="Times New Roman" w:cs="Times New Roman" w:hint="default"/>
      </w:rPr>
    </w:lvl>
    <w:lvl w:ilvl="1" w:tplc="04180003" w:tentative="1">
      <w:start w:val="1"/>
      <w:numFmt w:val="bullet"/>
      <w:lvlText w:val="o"/>
      <w:lvlJc w:val="left"/>
      <w:pPr>
        <w:ind w:left="1896" w:hanging="360"/>
      </w:pPr>
      <w:rPr>
        <w:rFonts w:ascii="Courier New" w:hAnsi="Courier New" w:cs="Courier New" w:hint="default"/>
      </w:rPr>
    </w:lvl>
    <w:lvl w:ilvl="2" w:tplc="04180005" w:tentative="1">
      <w:start w:val="1"/>
      <w:numFmt w:val="bullet"/>
      <w:lvlText w:val=""/>
      <w:lvlJc w:val="left"/>
      <w:pPr>
        <w:ind w:left="2616" w:hanging="360"/>
      </w:pPr>
      <w:rPr>
        <w:rFonts w:ascii="Wingdings" w:hAnsi="Wingdings" w:hint="default"/>
      </w:rPr>
    </w:lvl>
    <w:lvl w:ilvl="3" w:tplc="04180001" w:tentative="1">
      <w:start w:val="1"/>
      <w:numFmt w:val="bullet"/>
      <w:lvlText w:val=""/>
      <w:lvlJc w:val="left"/>
      <w:pPr>
        <w:ind w:left="3336" w:hanging="360"/>
      </w:pPr>
      <w:rPr>
        <w:rFonts w:ascii="Symbol" w:hAnsi="Symbol" w:hint="default"/>
      </w:rPr>
    </w:lvl>
    <w:lvl w:ilvl="4" w:tplc="04180003" w:tentative="1">
      <w:start w:val="1"/>
      <w:numFmt w:val="bullet"/>
      <w:lvlText w:val="o"/>
      <w:lvlJc w:val="left"/>
      <w:pPr>
        <w:ind w:left="4056" w:hanging="360"/>
      </w:pPr>
      <w:rPr>
        <w:rFonts w:ascii="Courier New" w:hAnsi="Courier New" w:cs="Courier New" w:hint="default"/>
      </w:rPr>
    </w:lvl>
    <w:lvl w:ilvl="5" w:tplc="04180005" w:tentative="1">
      <w:start w:val="1"/>
      <w:numFmt w:val="bullet"/>
      <w:lvlText w:val=""/>
      <w:lvlJc w:val="left"/>
      <w:pPr>
        <w:ind w:left="4776" w:hanging="360"/>
      </w:pPr>
      <w:rPr>
        <w:rFonts w:ascii="Wingdings" w:hAnsi="Wingdings" w:hint="default"/>
      </w:rPr>
    </w:lvl>
    <w:lvl w:ilvl="6" w:tplc="04180001" w:tentative="1">
      <w:start w:val="1"/>
      <w:numFmt w:val="bullet"/>
      <w:lvlText w:val=""/>
      <w:lvlJc w:val="left"/>
      <w:pPr>
        <w:ind w:left="5496" w:hanging="360"/>
      </w:pPr>
      <w:rPr>
        <w:rFonts w:ascii="Symbol" w:hAnsi="Symbol" w:hint="default"/>
      </w:rPr>
    </w:lvl>
    <w:lvl w:ilvl="7" w:tplc="04180003" w:tentative="1">
      <w:start w:val="1"/>
      <w:numFmt w:val="bullet"/>
      <w:lvlText w:val="o"/>
      <w:lvlJc w:val="left"/>
      <w:pPr>
        <w:ind w:left="6216" w:hanging="360"/>
      </w:pPr>
      <w:rPr>
        <w:rFonts w:ascii="Courier New" w:hAnsi="Courier New" w:cs="Courier New" w:hint="default"/>
      </w:rPr>
    </w:lvl>
    <w:lvl w:ilvl="8" w:tplc="04180005" w:tentative="1">
      <w:start w:val="1"/>
      <w:numFmt w:val="bullet"/>
      <w:lvlText w:val=""/>
      <w:lvlJc w:val="left"/>
      <w:pPr>
        <w:ind w:left="6936" w:hanging="360"/>
      </w:pPr>
      <w:rPr>
        <w:rFonts w:ascii="Wingdings" w:hAnsi="Wingdings" w:hint="default"/>
      </w:rPr>
    </w:lvl>
  </w:abstractNum>
  <w:abstractNum w:abstractNumId="3" w15:restartNumberingAfterBreak="0">
    <w:nsid w:val="61DC11A8"/>
    <w:multiLevelType w:val="multilevel"/>
    <w:tmpl w:val="1D06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D90A9B"/>
    <w:multiLevelType w:val="hybridMultilevel"/>
    <w:tmpl w:val="4D50693A"/>
    <w:lvl w:ilvl="0" w:tplc="BBCE6D80">
      <w:start w:val="2"/>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FBD084B"/>
    <w:multiLevelType w:val="hybridMultilevel"/>
    <w:tmpl w:val="191A78B2"/>
    <w:lvl w:ilvl="0" w:tplc="2CBA49EA">
      <w:start w:val="1"/>
      <w:numFmt w:val="upperRoman"/>
      <w:lvlText w:val="%1."/>
      <w:lvlJc w:val="left"/>
      <w:pPr>
        <w:ind w:left="1080" w:hanging="72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90214919">
    <w:abstractNumId w:val="5"/>
  </w:num>
  <w:num w:numId="2" w16cid:durableId="1773283316">
    <w:abstractNumId w:val="3"/>
  </w:num>
  <w:num w:numId="3" w16cid:durableId="1664697903">
    <w:abstractNumId w:val="0"/>
  </w:num>
  <w:num w:numId="4" w16cid:durableId="1065492196">
    <w:abstractNumId w:val="4"/>
  </w:num>
  <w:num w:numId="5" w16cid:durableId="1470783758">
    <w:abstractNumId w:val="1"/>
  </w:num>
  <w:num w:numId="6" w16cid:durableId="77425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37"/>
    <w:rsid w:val="00517446"/>
    <w:rsid w:val="00A1047F"/>
    <w:rsid w:val="00BE3C1A"/>
    <w:rsid w:val="00D32D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6B8F"/>
  <w15:chartTrackingRefBased/>
  <w15:docId w15:val="{FF4772B2-BA77-4E3A-B494-343EB8EC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A.md" TargetMode="External"/><Relationship Id="rId5" Type="http://schemas.openxmlformats.org/officeDocument/2006/relationships/hyperlink" Target="http://www.BusinessLink.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7682</Characters>
  <Application>Microsoft Office Word</Application>
  <DocSecurity>0</DocSecurity>
  <Lines>64</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dc:description/>
  <cp:lastModifiedBy>Lucia BEIU</cp:lastModifiedBy>
  <cp:revision>1</cp:revision>
  <dcterms:created xsi:type="dcterms:W3CDTF">2023-02-13T13:03:00Z</dcterms:created>
  <dcterms:modified xsi:type="dcterms:W3CDTF">2023-02-13T13:04:00Z</dcterms:modified>
</cp:coreProperties>
</file>